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تقرير ربع سنوي للأداء والتنظيم</w:t>
      </w:r>
    </w:p>
    <w:p>
      <w:pPr>
        <w:jc w:val="right"/>
        <w:bidi/>
        <w:spacing w:after="120" w:line="300" w:lineRule="auto"/>
      </w:pPr>
      <w:r>
        <w:rPr>
          <w:rFonts w:ascii="Arial" w:hAnsi="Arial" w:cs="Arial"/>
          <w:b w:val="0"/>
          <w:color w:val="334155"/>
          <w:sz w:val="22"/>
        </w:rPr>
        <w:t>قالب تقرير ربع سنوي يلخص مؤشرات الأداء والإنجازات والتحسينات وخطة الربع التالي.</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تقرير ربع سنوي للأداء والتنظيم</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التقارير والتنظيم</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MD-HR-041</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يساعد الإدارة على تقييم الربع السابق وتحديد أولويات الربع القادم بناء على مؤشرات واضحة.</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تقرير ربع سنوي</w:t>
      </w:r>
    </w:p>
    <w:p>
      <w:pPr>
        <w:ind w:left="0"/>
        <w:jc w:val="right"/>
        <w:bidi/>
        <w:spacing w:after="120" w:line="300" w:lineRule="auto"/>
      </w:pPr>
      <w:r>
        <w:rPr>
          <w:rFonts w:ascii="Arial" w:hAnsi="Arial" w:cs="Arial"/>
          <w:b w:val="0"/>
          <w:sz w:val="21"/>
        </w:rPr>
        <w:t>• مراجعة أداء إدارة</w:t>
      </w:r>
    </w:p>
    <w:p>
      <w:pPr>
        <w:ind w:left="0"/>
        <w:jc w:val="right"/>
        <w:bidi/>
        <w:spacing w:after="120" w:line="300" w:lineRule="auto"/>
      </w:pPr>
      <w:r>
        <w:rPr>
          <w:rFonts w:ascii="Arial" w:hAnsi="Arial" w:cs="Arial"/>
          <w:b w:val="0"/>
          <w:sz w:val="21"/>
        </w:rPr>
        <w:t>• خطة تحسين تنظيمية</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الربع</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الإدارة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الأهداف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نسبة الإنجاز</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أبرز النتائج</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المبادرات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المخاطر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الدروس المستفادة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خطة الربع القادم</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مراجعة أهداف الربع</w:t>
      </w:r>
    </w:p>
    <w:p>
      <w:pPr>
        <w:ind w:left="0"/>
        <w:jc w:val="right"/>
        <w:bidi/>
        <w:spacing w:after="120" w:line="300" w:lineRule="auto"/>
      </w:pPr>
      <w:r>
        <w:rPr>
          <w:rFonts w:ascii="Arial" w:hAnsi="Arial" w:cs="Arial"/>
          <w:b w:val="0"/>
          <w:sz w:val="21"/>
        </w:rPr>
        <w:t>• تجميع المؤشرات</w:t>
      </w:r>
    </w:p>
    <w:p>
      <w:pPr>
        <w:ind w:left="0"/>
        <w:jc w:val="right"/>
        <w:bidi/>
        <w:spacing w:after="120" w:line="300" w:lineRule="auto"/>
      </w:pPr>
      <w:r>
        <w:rPr>
          <w:rFonts w:ascii="Arial" w:hAnsi="Arial" w:cs="Arial"/>
          <w:b w:val="0"/>
          <w:sz w:val="21"/>
        </w:rPr>
        <w:t>• تحليل الفجوات</w:t>
      </w:r>
    </w:p>
    <w:p>
      <w:pPr>
        <w:ind w:left="0"/>
        <w:jc w:val="right"/>
        <w:bidi/>
        <w:spacing w:after="120" w:line="300" w:lineRule="auto"/>
      </w:pPr>
      <w:r>
        <w:rPr>
          <w:rFonts w:ascii="Arial" w:hAnsi="Arial" w:cs="Arial"/>
          <w:b w:val="0"/>
          <w:sz w:val="21"/>
        </w:rPr>
        <w:t>• اقتراح إجراءات الربع القادم</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التقارير والتنظيم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تقرير ربع سنوي للأداء والتنظيم</dc:title>
  <dc:subject>التقارير والتنظيم</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