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اعتراض على قرار إداري أو جزاء</w:t>
      </w:r>
    </w:p>
    <w:p>
      <w:pPr>
        <w:jc w:val="right"/>
        <w:bidi/>
        <w:spacing w:after="120" w:line="300" w:lineRule="auto"/>
      </w:pPr>
      <w:r>
        <w:rPr>
          <w:rFonts w:ascii="Arial" w:hAnsi="Arial" w:cs="Arial"/>
          <w:b w:val="0"/>
          <w:color w:val="334155"/>
          <w:sz w:val="22"/>
        </w:rPr>
        <w:t>قالب اعتراض مرتب على قرار إداري أو جزاء يتضمن الوقائع والطلبات والمرفقات.</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اعتراض على قرار إداري أو جزاء</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المخالفات والجزاءات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MD-HR-018</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يساعد الموظف على تقديم اعتراض مهني واضح داخل المنشأة قبل أي مسار آخر.</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الاعتراض على إنذار</w:t>
      </w:r>
    </w:p>
    <w:p>
      <w:pPr>
        <w:ind w:left="0"/>
        <w:jc w:val="right"/>
        <w:bidi/>
        <w:spacing w:after="120" w:line="300" w:lineRule="auto"/>
      </w:pPr>
      <w:r>
        <w:rPr>
          <w:rFonts w:ascii="Arial" w:hAnsi="Arial" w:cs="Arial"/>
          <w:b w:val="0"/>
          <w:sz w:val="21"/>
        </w:rPr>
        <w:t>• الاعتراض على حسم</w:t>
      </w:r>
    </w:p>
    <w:p>
      <w:pPr>
        <w:ind w:left="0"/>
        <w:jc w:val="right"/>
        <w:bidi/>
        <w:spacing w:after="120" w:line="300" w:lineRule="auto"/>
      </w:pPr>
      <w:r>
        <w:rPr>
          <w:rFonts w:ascii="Arial" w:hAnsi="Arial" w:cs="Arial"/>
          <w:b w:val="0"/>
          <w:sz w:val="21"/>
        </w:rPr>
        <w:t>• طلب مراجعة قرار إداري</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رقم القرار أو تاريخه</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موضوع الاعتراض</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الوقائع</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أسباب الاعتراض</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المرفقات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الطلب النهائي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التاريخ</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التوقيع</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ذكر القرار محل الاعتراض</w:t>
      </w:r>
    </w:p>
    <w:p>
      <w:pPr>
        <w:ind w:left="0"/>
        <w:jc w:val="right"/>
        <w:bidi/>
        <w:spacing w:after="120" w:line="300" w:lineRule="auto"/>
      </w:pPr>
      <w:r>
        <w:rPr>
          <w:rFonts w:ascii="Arial" w:hAnsi="Arial" w:cs="Arial"/>
          <w:b w:val="0"/>
          <w:sz w:val="21"/>
        </w:rPr>
        <w:t>• ترتيب الوقائع زمنيا</w:t>
      </w:r>
    </w:p>
    <w:p>
      <w:pPr>
        <w:ind w:left="0"/>
        <w:jc w:val="right"/>
        <w:bidi/>
        <w:spacing w:after="120" w:line="300" w:lineRule="auto"/>
      </w:pPr>
      <w:r>
        <w:rPr>
          <w:rFonts w:ascii="Arial" w:hAnsi="Arial" w:cs="Arial"/>
          <w:b w:val="0"/>
          <w:sz w:val="21"/>
        </w:rPr>
        <w:t>• إرفاق الأدلة</w:t>
      </w:r>
    </w:p>
    <w:p>
      <w:pPr>
        <w:ind w:left="0"/>
        <w:jc w:val="right"/>
        <w:bidi/>
        <w:spacing w:after="120" w:line="300" w:lineRule="auto"/>
      </w:pPr>
      <w:r>
        <w:rPr>
          <w:rFonts w:ascii="Arial" w:hAnsi="Arial" w:cs="Arial"/>
          <w:b w:val="0"/>
          <w:sz w:val="21"/>
        </w:rPr>
        <w:t>• تقديم الطلب للجهة المختصة داخليا</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المخالفات والجزاءات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اعتراض على قرار إداري أو جزاء</dc:title>
  <dc:subject>المخالفات والجزاءات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