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تسوية ودية لخلاف عمالي</w:t>
      </w:r>
    </w:p>
    <w:p>
      <w:pPr>
        <w:jc w:val="right"/>
        <w:bidi/>
        <w:spacing w:after="120" w:line="300" w:lineRule="auto"/>
      </w:pPr>
      <w:r>
        <w:rPr>
          <w:rFonts w:ascii="Arial" w:hAnsi="Arial" w:cs="Arial"/>
          <w:b w:val="0"/>
          <w:color w:val="334155"/>
          <w:sz w:val="22"/>
        </w:rPr>
        <w:t>قالب لترتيب وقائع طلب التسوية الودية قبل أو أثناء تجهيز الطلب عبر القنوات الرسمية.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تسوية ودية لخلاف عمالي</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القانونية والعقود</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MD-HR-030</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العامل أو صاحب العمل على ترتيب المطالبة والمرفقات قبل استخدام المسار الرسمي للتسوية الودية.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مطالبة بمستحقات</w:t>
      </w:r>
    </w:p>
    <w:p>
      <w:pPr>
        <w:ind w:left="0"/>
        <w:jc w:val="right"/>
        <w:bidi/>
        <w:spacing w:after="120" w:line="300" w:lineRule="auto"/>
      </w:pPr>
      <w:r>
        <w:rPr>
          <w:rFonts w:ascii="Arial" w:hAnsi="Arial" w:cs="Arial"/>
          <w:b w:val="0"/>
          <w:sz w:val="21"/>
        </w:rPr>
        <w:t>• خلاف حول إنهاء عقد</w:t>
      </w:r>
    </w:p>
    <w:p>
      <w:pPr>
        <w:ind w:left="0"/>
        <w:jc w:val="right"/>
        <w:bidi/>
        <w:spacing w:after="120" w:line="300" w:lineRule="auto"/>
      </w:pPr>
      <w:r>
        <w:rPr>
          <w:rFonts w:ascii="Arial" w:hAnsi="Arial" w:cs="Arial"/>
          <w:b w:val="0"/>
          <w:sz w:val="21"/>
        </w:rPr>
        <w:t>• تحضير بيانات التسوية الودية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مقدم الطلب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صفة مقدم الطلب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بيانات الطرف الآخر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موضوع المطالبة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الوقائع زمنيا</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المبالغ المطلوبة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محاولات الحل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الطلب النهائي</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ترتيب الوقائع</w:t>
      </w:r>
    </w:p>
    <w:p>
      <w:pPr>
        <w:ind w:left="0"/>
        <w:jc w:val="right"/>
        <w:bidi/>
        <w:spacing w:after="120" w:line="300" w:lineRule="auto"/>
      </w:pPr>
      <w:r>
        <w:rPr>
          <w:rFonts w:ascii="Arial" w:hAnsi="Arial" w:cs="Arial"/>
          <w:b w:val="0"/>
          <w:sz w:val="21"/>
        </w:rPr>
        <w:t>• تحديد الطلبات والمبالغ</w:t>
      </w:r>
    </w:p>
    <w:p>
      <w:pPr>
        <w:ind w:left="0"/>
        <w:jc w:val="right"/>
        <w:bidi/>
        <w:spacing w:after="120" w:line="300" w:lineRule="auto"/>
      </w:pPr>
      <w:r>
        <w:rPr>
          <w:rFonts w:ascii="Arial" w:hAnsi="Arial" w:cs="Arial"/>
          <w:b w:val="0"/>
          <w:sz w:val="21"/>
        </w:rPr>
        <w:t>• جمع المرفقات</w:t>
      </w:r>
    </w:p>
    <w:p>
      <w:pPr>
        <w:ind w:left="0"/>
        <w:jc w:val="right"/>
        <w:bidi/>
        <w:spacing w:after="120" w:line="300" w:lineRule="auto"/>
      </w:pPr>
      <w:r>
        <w:rPr>
          <w:rFonts w:ascii="Arial" w:hAnsi="Arial" w:cs="Arial"/>
          <w:b w:val="0"/>
          <w:sz w:val="21"/>
        </w:rPr>
        <w:t>• مراجعة القناة الرسمية المختصة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القانونية والعقود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تسوية ودية لخلاف عمالي</dc:title>
  <dc:subject>القانونية والعقود</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