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مذكرة دعوى للمحكمة العمالية</w:t>
      </w:r>
    </w:p>
    <w:p>
      <w:pPr>
        <w:jc w:val="right"/>
        <w:bidi/>
        <w:spacing w:after="120" w:line="300" w:lineRule="auto"/>
      </w:pPr>
      <w:r>
        <w:rPr>
          <w:rFonts w:ascii="Arial" w:hAnsi="Arial" w:cs="Arial"/>
          <w:b w:val="0"/>
          <w:color w:val="334155"/>
          <w:sz w:val="22"/>
        </w:rPr>
        <w:t>قالب تنظيمي لمذكرة دعوى عمالية يضم الأطراف والوقائع والطلبات والمرفقات.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مذكرة دعوى للمحكمة العمالية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القانونية والعقود</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MD-HR-031</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على ترتيب الأفكار والمستندات قبل صياغة مذكرة قانونية أو مراجعة مختص.</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تجهيز مذكرة دعوى عمالية</w:t>
      </w:r>
    </w:p>
    <w:p>
      <w:pPr>
        <w:ind w:left="0"/>
        <w:jc w:val="right"/>
        <w:bidi/>
        <w:spacing w:after="120" w:line="300" w:lineRule="auto"/>
      </w:pPr>
      <w:r>
        <w:rPr>
          <w:rFonts w:ascii="Arial" w:hAnsi="Arial" w:cs="Arial"/>
          <w:b w:val="0"/>
          <w:sz w:val="21"/>
        </w:rPr>
        <w:t>• ترتيب مرفقات المطالبة</w:t>
      </w:r>
    </w:p>
    <w:p>
      <w:pPr>
        <w:ind w:left="0"/>
        <w:jc w:val="right"/>
        <w:bidi/>
        <w:spacing w:after="120" w:line="300" w:lineRule="auto"/>
      </w:pPr>
      <w:r>
        <w:rPr>
          <w:rFonts w:ascii="Arial" w:hAnsi="Arial" w:cs="Arial"/>
          <w:b w:val="0"/>
          <w:sz w:val="21"/>
        </w:rPr>
        <w:t>• صياغة الوقائع والطلبات</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بيانات المدعي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بيانات المدعى عليه</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العلاقة العمالية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الوقائع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المطالبات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الأسانيد والمرفقات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الطلبات الختامية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التاريخ والتوقيع</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كتابة الوقائع بترتيب زمني</w:t>
      </w:r>
    </w:p>
    <w:p>
      <w:pPr>
        <w:ind w:left="0"/>
        <w:jc w:val="right"/>
        <w:bidi/>
        <w:spacing w:after="120" w:line="300" w:lineRule="auto"/>
      </w:pPr>
      <w:r>
        <w:rPr>
          <w:rFonts w:ascii="Arial" w:hAnsi="Arial" w:cs="Arial"/>
          <w:b w:val="0"/>
          <w:sz w:val="21"/>
        </w:rPr>
        <w:t>• ربط كل طلب بمستند</w:t>
      </w:r>
    </w:p>
    <w:p>
      <w:pPr>
        <w:ind w:left="0"/>
        <w:jc w:val="right"/>
        <w:bidi/>
        <w:spacing w:after="120" w:line="300" w:lineRule="auto"/>
      </w:pPr>
      <w:r>
        <w:rPr>
          <w:rFonts w:ascii="Arial" w:hAnsi="Arial" w:cs="Arial"/>
          <w:b w:val="0"/>
          <w:sz w:val="21"/>
        </w:rPr>
        <w:t>• مراجعة الاختصاص والقناة الرسمية</w:t>
      </w:r>
    </w:p>
    <w:p>
      <w:pPr>
        <w:ind w:left="0"/>
        <w:jc w:val="right"/>
        <w:bidi/>
        <w:spacing w:after="120" w:line="300" w:lineRule="auto"/>
      </w:pPr>
      <w:r>
        <w:rPr>
          <w:rFonts w:ascii="Arial" w:hAnsi="Arial" w:cs="Arial"/>
          <w:b w:val="0"/>
          <w:sz w:val="21"/>
        </w:rPr>
        <w:t>• عرض المسودة على مختص عند الحاجة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القانونية والعقود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مذكرة دعوى للمحكمة العمالية</dc:title>
  <dc:subject>القانونية والعقود</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