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جرد مخزون أو عهد تشغيلية</w:t>
      </w:r>
    </w:p>
    <w:p>
      <w:pPr>
        <w:jc w:val="right"/>
        <w:bidi/>
        <w:spacing w:after="120" w:line="300" w:lineRule="auto"/>
      </w:pPr>
      <w:r>
        <w:rPr>
          <w:rFonts w:ascii="Arial" w:hAnsi="Arial" w:cs="Arial"/>
          <w:b w:val="0"/>
          <w:color w:val="334155"/>
          <w:sz w:val="22"/>
        </w:rPr>
        <w:t>قالب جرد يسجل الأصناف والكميات الفعلية والدفترية والفروقات والإجراءات التصحيحية.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جرد مخزون أو عهد تشغيلية</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العهد والمخزون</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MD-HR-036</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يساعد الإدارات على توثيق الجرد الدوري أو المفاجئ وربط الفروقات بمسؤوليات واضحة.</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جرد مخزن</w:t>
      </w:r>
    </w:p>
    <w:p>
      <w:pPr>
        <w:ind w:left="0"/>
        <w:jc w:val="right"/>
        <w:bidi/>
        <w:spacing w:after="120" w:line="300" w:lineRule="auto"/>
      </w:pPr>
      <w:r>
        <w:rPr>
          <w:rFonts w:ascii="Arial" w:hAnsi="Arial" w:cs="Arial"/>
          <w:b w:val="0"/>
          <w:sz w:val="21"/>
        </w:rPr>
        <w:t>• جرد عهد قسم</w:t>
      </w:r>
    </w:p>
    <w:p>
      <w:pPr>
        <w:ind w:left="0"/>
        <w:jc w:val="right"/>
        <w:bidi/>
        <w:spacing w:after="120" w:line="300" w:lineRule="auto"/>
      </w:pPr>
      <w:r>
        <w:rPr>
          <w:rFonts w:ascii="Arial" w:hAnsi="Arial" w:cs="Arial"/>
          <w:b w:val="0"/>
          <w:sz w:val="21"/>
        </w:rPr>
        <w:t>• مطابقة كميات فعلية مع سجلات</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الموقع</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تاريخ الجرد</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الفريق</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الصنف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الكمية الدفترية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الكمية الفعلية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الفارق</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سبب الفارق</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الإجراء</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اعتماد المسؤول</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تحديد نطاق الجرد</w:t>
      </w:r>
    </w:p>
    <w:p>
      <w:pPr>
        <w:ind w:left="0"/>
        <w:jc w:val="right"/>
        <w:bidi/>
        <w:spacing w:after="120" w:line="300" w:lineRule="auto"/>
      </w:pPr>
      <w:r>
        <w:rPr>
          <w:rFonts w:ascii="Arial" w:hAnsi="Arial" w:cs="Arial"/>
          <w:b w:val="0"/>
          <w:sz w:val="21"/>
        </w:rPr>
        <w:t>• إجراء العد الفعلي</w:t>
      </w:r>
    </w:p>
    <w:p>
      <w:pPr>
        <w:ind w:left="0"/>
        <w:jc w:val="right"/>
        <w:bidi/>
        <w:spacing w:after="120" w:line="300" w:lineRule="auto"/>
      </w:pPr>
      <w:r>
        <w:rPr>
          <w:rFonts w:ascii="Arial" w:hAnsi="Arial" w:cs="Arial"/>
          <w:b w:val="0"/>
          <w:sz w:val="21"/>
        </w:rPr>
        <w:t>• مطابقة السجلات</w:t>
      </w:r>
    </w:p>
    <w:p>
      <w:pPr>
        <w:ind w:left="0"/>
        <w:jc w:val="right"/>
        <w:bidi/>
        <w:spacing w:after="120" w:line="300" w:lineRule="auto"/>
      </w:pPr>
      <w:r>
        <w:rPr>
          <w:rFonts w:ascii="Arial" w:hAnsi="Arial" w:cs="Arial"/>
          <w:b w:val="0"/>
          <w:sz w:val="21"/>
        </w:rPr>
        <w:t>• توثيق الفروقات وخطة المعالجة</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العهد والمخزون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جرد مخزون أو عهد تشغيلية</dc:title>
  <dc:subject>العهد والمخزون</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