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تعويض مصاريف عمل</w:t>
      </w:r>
    </w:p>
    <w:p>
      <w:pPr>
        <w:jc w:val="right"/>
        <w:bidi/>
        <w:spacing w:after="120" w:line="300" w:lineRule="auto"/>
      </w:pPr>
      <w:r>
        <w:rPr>
          <w:rFonts w:ascii="Arial" w:hAnsi="Arial" w:cs="Arial"/>
          <w:b w:val="0"/>
          <w:color w:val="334155"/>
          <w:sz w:val="22"/>
        </w:rPr>
        <w:t>قالب مطالبة بتعويض مصاريف تكبدها الموظف لصالح العمل مع الفواتير والاعتماد.</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تعويض مصاريف عمل</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المالية والاستحقاقات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MD-HR-022</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يفصل بين المصاريف الشخصية ومصاريف العمل ويجعل التعويض مبنيا على مستندات.</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مصاريف سفر عمل</w:t>
      </w:r>
    </w:p>
    <w:p>
      <w:pPr>
        <w:ind w:left="0"/>
        <w:jc w:val="right"/>
        <w:bidi/>
        <w:spacing w:after="120" w:line="300" w:lineRule="auto"/>
      </w:pPr>
      <w:r>
        <w:rPr>
          <w:rFonts w:ascii="Arial" w:hAnsi="Arial" w:cs="Arial"/>
          <w:b w:val="0"/>
          <w:sz w:val="21"/>
        </w:rPr>
        <w:t>• شراء أدوات للعمل</w:t>
      </w:r>
    </w:p>
    <w:p>
      <w:pPr>
        <w:ind w:left="0"/>
        <w:jc w:val="right"/>
        <w:bidi/>
        <w:spacing w:after="120" w:line="300" w:lineRule="auto"/>
      </w:pPr>
      <w:r>
        <w:rPr>
          <w:rFonts w:ascii="Arial" w:hAnsi="Arial" w:cs="Arial"/>
          <w:b w:val="0"/>
          <w:sz w:val="21"/>
        </w:rPr>
        <w:t>• تكاليف تنقل أو ضيافة معتمدة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نوع المصروف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المصروف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المبلغ</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سبب المصروف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رقم الفاتورة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اعتماد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المالية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تجميع الفواتير</w:t>
      </w:r>
    </w:p>
    <w:p>
      <w:pPr>
        <w:ind w:left="0"/>
        <w:jc w:val="right"/>
        <w:bidi/>
        <w:spacing w:after="120" w:line="300" w:lineRule="auto"/>
      </w:pPr>
      <w:r>
        <w:rPr>
          <w:rFonts w:ascii="Arial" w:hAnsi="Arial" w:cs="Arial"/>
          <w:b w:val="0"/>
          <w:sz w:val="21"/>
        </w:rPr>
        <w:t>• تعبئة جدول المصاريف</w:t>
      </w:r>
    </w:p>
    <w:p>
      <w:pPr>
        <w:ind w:left="0"/>
        <w:jc w:val="right"/>
        <w:bidi/>
        <w:spacing w:after="120" w:line="300" w:lineRule="auto"/>
      </w:pPr>
      <w:r>
        <w:rPr>
          <w:rFonts w:ascii="Arial" w:hAnsi="Arial" w:cs="Arial"/>
          <w:b w:val="0"/>
          <w:sz w:val="21"/>
        </w:rPr>
        <w:t>• مراجعة المدير</w:t>
      </w:r>
    </w:p>
    <w:p>
      <w:pPr>
        <w:ind w:left="0"/>
        <w:jc w:val="right"/>
        <w:bidi/>
        <w:spacing w:after="120" w:line="300" w:lineRule="auto"/>
      </w:pPr>
      <w:r>
        <w:rPr>
          <w:rFonts w:ascii="Arial" w:hAnsi="Arial" w:cs="Arial"/>
          <w:b w:val="0"/>
          <w:sz w:val="21"/>
        </w:rPr>
        <w:t>• صرف المبلغ أو رفضه مع السبب</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المالية والاستحقاقات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تعويض مصاريف عمل</dc:title>
  <dc:subject>المالية والاستحقاقات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