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استثناء إداري</w:t>
      </w:r>
    </w:p>
    <w:p>
      <w:pPr>
        <w:jc w:val="right"/>
        <w:bidi/>
        <w:spacing w:after="120" w:line="300" w:lineRule="auto"/>
      </w:pPr>
      <w:r>
        <w:rPr>
          <w:rFonts w:ascii="Arial" w:hAnsi="Arial" w:cs="Arial"/>
          <w:b w:val="0"/>
          <w:color w:val="334155"/>
          <w:sz w:val="22"/>
        </w:rPr>
        <w:t>قالب طلب استثناء من إجراء أو شرط داخلي مع المبررات والأثر والموافقة النهائية.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استثناء إداري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MD-HR-026</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يمنع الموافقات الشفهية غير الموثقة ويجعل الاستثناء محددا ومؤقتا ومسببا.</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استثناء من موعد</w:t>
      </w:r>
    </w:p>
    <w:p>
      <w:pPr>
        <w:ind w:left="0"/>
        <w:jc w:val="right"/>
        <w:bidi/>
        <w:spacing w:after="120" w:line="300" w:lineRule="auto"/>
      </w:pPr>
      <w:r>
        <w:rPr>
          <w:rFonts w:ascii="Arial" w:hAnsi="Arial" w:cs="Arial"/>
          <w:b w:val="0"/>
          <w:sz w:val="21"/>
        </w:rPr>
        <w:t>• استثناء من شرط داخلي</w:t>
      </w:r>
    </w:p>
    <w:p>
      <w:pPr>
        <w:ind w:left="0"/>
        <w:jc w:val="right"/>
        <w:bidi/>
        <w:spacing w:after="120" w:line="300" w:lineRule="auto"/>
      </w:pPr>
      <w:r>
        <w:rPr>
          <w:rFonts w:ascii="Arial" w:hAnsi="Arial" w:cs="Arial"/>
          <w:b w:val="0"/>
          <w:sz w:val="21"/>
        </w:rPr>
        <w:t>• طلب موافقة خاصة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مقدم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نوع الاستثناء</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الإجراء المطلوب استثناؤه</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مبررات الطلب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مدة الاستثناء</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الأثر المتوقع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البدائل</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رأي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صاحب الصلاحية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الاستثناء بدقة</w:t>
      </w:r>
    </w:p>
    <w:p>
      <w:pPr>
        <w:ind w:left="0"/>
        <w:jc w:val="right"/>
        <w:bidi/>
        <w:spacing w:after="120" w:line="300" w:lineRule="auto"/>
      </w:pPr>
      <w:r>
        <w:rPr>
          <w:rFonts w:ascii="Arial" w:hAnsi="Arial" w:cs="Arial"/>
          <w:b w:val="0"/>
          <w:sz w:val="21"/>
        </w:rPr>
        <w:t>• شرح السبب والأثر</w:t>
      </w:r>
    </w:p>
    <w:p>
      <w:pPr>
        <w:ind w:left="0"/>
        <w:jc w:val="right"/>
        <w:bidi/>
        <w:spacing w:after="120" w:line="300" w:lineRule="auto"/>
      </w:pPr>
      <w:r>
        <w:rPr>
          <w:rFonts w:ascii="Arial" w:hAnsi="Arial" w:cs="Arial"/>
          <w:b w:val="0"/>
          <w:sz w:val="21"/>
        </w:rPr>
        <w:t>• مراجعة المخاطر</w:t>
      </w:r>
    </w:p>
    <w:p>
      <w:pPr>
        <w:ind w:left="0"/>
        <w:jc w:val="right"/>
        <w:bidi/>
        <w:spacing w:after="120" w:line="300" w:lineRule="auto"/>
      </w:pPr>
      <w:r>
        <w:rPr>
          <w:rFonts w:ascii="Arial" w:hAnsi="Arial" w:cs="Arial"/>
          <w:b w:val="0"/>
          <w:sz w:val="21"/>
        </w:rPr>
        <w:t>• اعتماد القرار أو رفضه</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استثناء إداري</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