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رصد مخالفة موظف</w:t>
      </w:r>
    </w:p>
    <w:p>
      <w:pPr>
        <w:jc w:val="right"/>
        <w:bidi/>
        <w:spacing w:after="120" w:line="300" w:lineRule="auto"/>
      </w:pPr>
      <w:r>
        <w:rPr>
          <w:rFonts w:ascii="Arial" w:hAnsi="Arial" w:cs="Arial"/>
          <w:b w:val="0"/>
          <w:color w:val="334155"/>
          <w:sz w:val="22"/>
        </w:rPr>
        <w:t>نموذج لتوثيق مخالفة إدارية أو سلوكية أو تشغيلية مع الوقائع والشهود والمرفقات.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رصد مخالفة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MD-HR-012</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يفصل الواقعة عن القرار التأديبي، فيتم رصد المخالفة أولا ثم مراجعتها وفق اللائحة.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مخالفة تعليمات العمل</w:t>
      </w:r>
    </w:p>
    <w:p>
      <w:pPr>
        <w:ind w:left="0"/>
        <w:jc w:val="right"/>
        <w:bidi/>
        <w:spacing w:after="120" w:line="300" w:lineRule="auto"/>
      </w:pPr>
      <w:r>
        <w:rPr>
          <w:rFonts w:ascii="Arial" w:hAnsi="Arial" w:cs="Arial"/>
          <w:b w:val="0"/>
          <w:sz w:val="21"/>
        </w:rPr>
        <w:t>• تأخير متكرر</w:t>
      </w:r>
    </w:p>
    <w:p>
      <w:pPr>
        <w:ind w:left="0"/>
        <w:jc w:val="right"/>
        <w:bidi/>
        <w:spacing w:after="120" w:line="300" w:lineRule="auto"/>
      </w:pPr>
      <w:r>
        <w:rPr>
          <w:rFonts w:ascii="Arial" w:hAnsi="Arial" w:cs="Arial"/>
          <w:b w:val="0"/>
          <w:sz w:val="21"/>
        </w:rPr>
        <w:t>• إهمال أو تجاوز إداري</w:t>
      </w:r>
    </w:p>
    <w:p>
      <w:pPr>
        <w:ind w:left="0"/>
        <w:jc w:val="right"/>
        <w:bidi/>
        <w:spacing w:after="120" w:line="300" w:lineRule="auto"/>
      </w:pPr>
      <w:r>
        <w:rPr>
          <w:rFonts w:ascii="Arial" w:hAnsi="Arial" w:cs="Arial"/>
          <w:b w:val="0"/>
          <w:sz w:val="21"/>
        </w:rPr>
        <w:t>• واقعة تحتاج تحقيقا</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الواقعة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نوع المخالفة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وصف الواقعة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الشهود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الإجراء المقترح</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اسم محرر المحضر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توقيع المسؤول</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تدوين الواقعة دون مبالغة</w:t>
      </w:r>
    </w:p>
    <w:p>
      <w:pPr>
        <w:ind w:left="0"/>
        <w:jc w:val="right"/>
        <w:bidi/>
        <w:spacing w:after="120" w:line="300" w:lineRule="auto"/>
      </w:pPr>
      <w:r>
        <w:rPr>
          <w:rFonts w:ascii="Arial" w:hAnsi="Arial" w:cs="Arial"/>
          <w:b w:val="0"/>
          <w:sz w:val="21"/>
        </w:rPr>
        <w:t>• إرفاق الأدلة المتاحة</w:t>
      </w:r>
    </w:p>
    <w:p>
      <w:pPr>
        <w:ind w:left="0"/>
        <w:jc w:val="right"/>
        <w:bidi/>
        <w:spacing w:after="120" w:line="300" w:lineRule="auto"/>
      </w:pPr>
      <w:r>
        <w:rPr>
          <w:rFonts w:ascii="Arial" w:hAnsi="Arial" w:cs="Arial"/>
          <w:b w:val="0"/>
          <w:sz w:val="21"/>
        </w:rPr>
        <w:t>• إحالة النموذج للموارد البشرية</w:t>
      </w:r>
    </w:p>
    <w:p>
      <w:pPr>
        <w:ind w:left="0"/>
        <w:jc w:val="right"/>
        <w:bidi/>
        <w:spacing w:after="120" w:line="300" w:lineRule="auto"/>
      </w:pPr>
      <w:r>
        <w:rPr>
          <w:rFonts w:ascii="Arial" w:hAnsi="Arial" w:cs="Arial"/>
          <w:b w:val="0"/>
          <w:sz w:val="21"/>
        </w:rPr>
        <w:t>• تحديد هل يلزم تحقيق أو إنذار</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رصد مخالفة موظف</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