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قرار حسم أو جزاء موظف</w:t>
      </w:r>
    </w:p>
    <w:p>
      <w:pPr>
        <w:jc w:val="right"/>
        <w:bidi/>
        <w:spacing w:after="120" w:line="300" w:lineRule="auto"/>
      </w:pPr>
      <w:r>
        <w:rPr>
          <w:rFonts w:ascii="Arial" w:hAnsi="Arial" w:cs="Arial"/>
          <w:b w:val="0"/>
          <w:color w:val="334155"/>
          <w:sz w:val="22"/>
        </w:rPr>
        <w:t>قالب قرار إداري لتوقيع جزاء أو حسم بعد توثيق المخالفة ومراجعة اللائحة الداخلية.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قرار حسم أو جزاء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المخالفات والجزاءات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MD-HR-015</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يستخدم عند اعتماد جزاء إداري مع بيان سببه ومستنده ومقداره وإبلاغ الموظف به كتابة.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قرار حسم من الراتب</w:t>
      </w:r>
    </w:p>
    <w:p>
      <w:pPr>
        <w:ind w:left="0"/>
        <w:jc w:val="right"/>
        <w:bidi/>
        <w:spacing w:after="120" w:line="300" w:lineRule="auto"/>
      </w:pPr>
      <w:r>
        <w:rPr>
          <w:rFonts w:ascii="Arial" w:hAnsi="Arial" w:cs="Arial"/>
          <w:b w:val="0"/>
          <w:sz w:val="21"/>
        </w:rPr>
        <w:t>• جزاء إداري</w:t>
      </w:r>
    </w:p>
    <w:p>
      <w:pPr>
        <w:ind w:left="0"/>
        <w:jc w:val="right"/>
        <w:bidi/>
        <w:spacing w:after="120" w:line="300" w:lineRule="auto"/>
      </w:pPr>
      <w:r>
        <w:rPr>
          <w:rFonts w:ascii="Arial" w:hAnsi="Arial" w:cs="Arial"/>
          <w:b w:val="0"/>
          <w:sz w:val="21"/>
        </w:rPr>
        <w:t>• إيقاف أو إجراء داخلي وفق اللائحة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نوع المخالفة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تاريخ المخالفة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المستندات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نوع الجزاء</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مقدار الحسم إن وجد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تاريخ النفاذ</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حق التظلم الداخلي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صاحب الصلاحية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التأكد من وجود مخالفة موثقة</w:t>
      </w:r>
    </w:p>
    <w:p>
      <w:pPr>
        <w:ind w:left="0"/>
        <w:jc w:val="right"/>
        <w:bidi/>
        <w:spacing w:after="120" w:line="300" w:lineRule="auto"/>
      </w:pPr>
      <w:r>
        <w:rPr>
          <w:rFonts w:ascii="Arial" w:hAnsi="Arial" w:cs="Arial"/>
          <w:b w:val="0"/>
          <w:sz w:val="21"/>
        </w:rPr>
        <w:t>• مطابقة الجزاء مع اللائحة</w:t>
      </w:r>
    </w:p>
    <w:p>
      <w:pPr>
        <w:ind w:left="0"/>
        <w:jc w:val="right"/>
        <w:bidi/>
        <w:spacing w:after="120" w:line="300" w:lineRule="auto"/>
      </w:pPr>
      <w:r>
        <w:rPr>
          <w:rFonts w:ascii="Arial" w:hAnsi="Arial" w:cs="Arial"/>
          <w:b w:val="0"/>
          <w:sz w:val="21"/>
        </w:rPr>
        <w:t>• إبلاغ الموظف كتابة</w:t>
      </w:r>
    </w:p>
    <w:p>
      <w:pPr>
        <w:ind w:left="0"/>
        <w:jc w:val="right"/>
        <w:bidi/>
        <w:spacing w:after="120" w:line="300" w:lineRule="auto"/>
      </w:pPr>
      <w:r>
        <w:rPr>
          <w:rFonts w:ascii="Arial" w:hAnsi="Arial" w:cs="Arial"/>
          <w:b w:val="0"/>
          <w:sz w:val="21"/>
        </w:rPr>
        <w:t>• تسجيل القرار في ملف الموظف</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المخالفات والجزاءات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قرار حسم أو جزاء موظف</dc:title>
  <dc:subject>المخالفات والجزاءات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