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محضر إعادة وتسليم عهدة</w:t>
      </w:r>
    </w:p>
    <w:p>
      <w:pPr>
        <w:jc w:val="right"/>
        <w:bidi/>
        <w:spacing w:after="120" w:line="300" w:lineRule="auto"/>
      </w:pPr>
      <w:r>
        <w:rPr>
          <w:rFonts w:ascii="Arial" w:hAnsi="Arial" w:cs="Arial"/>
          <w:b w:val="0"/>
          <w:color w:val="334155"/>
          <w:sz w:val="22"/>
        </w:rPr>
        <w:t>محضر يوثق إعادة العهدة وحالتها والفروقات أو النواقص عند انتهاء الاستخدام أو الخدمة.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محضر إعادة وتسليم عهدة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العهد والمخزون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MD-HR-035</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يكمل دورة العهدة من التسليم إلى الإرجاع ويحدد هل توجد ملاحظات أو نقص يحتاج معالجة.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إخلاء طرف</w:t>
      </w:r>
    </w:p>
    <w:p>
      <w:pPr>
        <w:ind w:left="0"/>
        <w:jc w:val="right"/>
        <w:bidi/>
        <w:spacing w:after="120" w:line="300" w:lineRule="auto"/>
      </w:pPr>
      <w:r>
        <w:rPr>
          <w:rFonts w:ascii="Arial" w:hAnsi="Arial" w:cs="Arial"/>
          <w:b w:val="0"/>
          <w:sz w:val="21"/>
        </w:rPr>
        <w:t>• نقل موظف</w:t>
      </w:r>
    </w:p>
    <w:p>
      <w:pPr>
        <w:ind w:left="0"/>
        <w:jc w:val="right"/>
        <w:bidi/>
        <w:spacing w:after="120" w:line="300" w:lineRule="auto"/>
      </w:pPr>
      <w:r>
        <w:rPr>
          <w:rFonts w:ascii="Arial" w:hAnsi="Arial" w:cs="Arial"/>
          <w:b w:val="0"/>
          <w:sz w:val="21"/>
        </w:rPr>
        <w:t>• استبدال جهاز أو عهدة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تاريخ الإرجاع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العهدة المعادة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الحالة عند الإرجاع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الفروقات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الملاحظات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الإجراء المطلوب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توقيع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توقيع مسؤول العهد</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مطابقة العهدة مع سجل الاستلام</w:t>
      </w:r>
    </w:p>
    <w:p>
      <w:pPr>
        <w:ind w:left="0"/>
        <w:jc w:val="right"/>
        <w:bidi/>
        <w:spacing w:after="120" w:line="300" w:lineRule="auto"/>
      </w:pPr>
      <w:r>
        <w:rPr>
          <w:rFonts w:ascii="Arial" w:hAnsi="Arial" w:cs="Arial"/>
          <w:b w:val="0"/>
          <w:sz w:val="21"/>
        </w:rPr>
        <w:t>• فحص الحالة</w:t>
      </w:r>
    </w:p>
    <w:p>
      <w:pPr>
        <w:ind w:left="0"/>
        <w:jc w:val="right"/>
        <w:bidi/>
        <w:spacing w:after="120" w:line="300" w:lineRule="auto"/>
      </w:pPr>
      <w:r>
        <w:rPr>
          <w:rFonts w:ascii="Arial" w:hAnsi="Arial" w:cs="Arial"/>
          <w:b w:val="0"/>
          <w:sz w:val="21"/>
        </w:rPr>
        <w:t>• تسجيل الملاحظات</w:t>
      </w:r>
    </w:p>
    <w:p>
      <w:pPr>
        <w:ind w:left="0"/>
        <w:jc w:val="right"/>
        <w:bidi/>
        <w:spacing w:after="120" w:line="300" w:lineRule="auto"/>
      </w:pPr>
      <w:r>
        <w:rPr>
          <w:rFonts w:ascii="Arial" w:hAnsi="Arial" w:cs="Arial"/>
          <w:b w:val="0"/>
          <w:sz w:val="21"/>
        </w:rPr>
        <w:t>• اعتماد الإرجاع أو طلب معالجة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العهد والمخزون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محضر إعادة وتسليم عهدة</dc:title>
  <dc:subject>العهد والمخزون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