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إجراء تصحيحي أو وقائي</w:t>
      </w:r>
    </w:p>
    <w:p>
      <w:pPr>
        <w:jc w:val="right"/>
        <w:bidi/>
        <w:spacing w:after="120" w:line="300" w:lineRule="auto"/>
      </w:pPr>
      <w:r>
        <w:rPr>
          <w:rFonts w:ascii="Arial" w:hAnsi="Arial" w:cs="Arial"/>
          <w:b w:val="0"/>
          <w:color w:val="334155"/>
          <w:sz w:val="22"/>
        </w:rPr>
        <w:t>قالب طلب إجراء تصحيحي يحدد السبب الجذري والإجراء والمسؤول والموعد والتحقق.</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إجراء تصحيحي أو وقائي</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الجودة وتنظيم العمل</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MD-HR-038</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يستخدم بعد ملاحظة جودة أو مخالفة عملية لتوثيق معالجة السبب وليس النتيجة فقط.</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إغلاق عدم مطابقة</w:t>
      </w:r>
    </w:p>
    <w:p>
      <w:pPr>
        <w:ind w:left="0"/>
        <w:jc w:val="right"/>
        <w:bidi/>
        <w:spacing w:after="120" w:line="300" w:lineRule="auto"/>
      </w:pPr>
      <w:r>
        <w:rPr>
          <w:rFonts w:ascii="Arial" w:hAnsi="Arial" w:cs="Arial"/>
          <w:b w:val="0"/>
          <w:sz w:val="21"/>
        </w:rPr>
        <w:t>• تحسين إجراء</w:t>
      </w:r>
    </w:p>
    <w:p>
      <w:pPr>
        <w:ind w:left="0"/>
        <w:jc w:val="right"/>
        <w:bidi/>
        <w:spacing w:after="120" w:line="300" w:lineRule="auto"/>
      </w:pPr>
      <w:r>
        <w:rPr>
          <w:rFonts w:ascii="Arial" w:hAnsi="Arial" w:cs="Arial"/>
          <w:b w:val="0"/>
          <w:sz w:val="21"/>
        </w:rPr>
        <w:t>• منع تكرار خطأ تشغيلي</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رقم الطلب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مصدر الملاحظة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وصف المشكلة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السبب الجذري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الإجراء التصحيحي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الإجراء الوقائي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المسؤول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تاريخ الاستحقاق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نتيجة التحقق</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تحليل السبب</w:t>
      </w:r>
    </w:p>
    <w:p>
      <w:pPr>
        <w:ind w:left="0"/>
        <w:jc w:val="right"/>
        <w:bidi/>
        <w:spacing w:after="120" w:line="300" w:lineRule="auto"/>
      </w:pPr>
      <w:r>
        <w:rPr>
          <w:rFonts w:ascii="Arial" w:hAnsi="Arial" w:cs="Arial"/>
          <w:b w:val="0"/>
          <w:sz w:val="21"/>
        </w:rPr>
        <w:t>• تحديد الإجراء</w:t>
      </w:r>
    </w:p>
    <w:p>
      <w:pPr>
        <w:ind w:left="0"/>
        <w:jc w:val="right"/>
        <w:bidi/>
        <w:spacing w:after="120" w:line="300" w:lineRule="auto"/>
      </w:pPr>
      <w:r>
        <w:rPr>
          <w:rFonts w:ascii="Arial" w:hAnsi="Arial" w:cs="Arial"/>
          <w:b w:val="0"/>
          <w:sz w:val="21"/>
        </w:rPr>
        <w:t>• تعيين مسؤول وموعد</w:t>
      </w:r>
    </w:p>
    <w:p>
      <w:pPr>
        <w:ind w:left="0"/>
        <w:jc w:val="right"/>
        <w:bidi/>
        <w:spacing w:after="120" w:line="300" w:lineRule="auto"/>
      </w:pPr>
      <w:r>
        <w:rPr>
          <w:rFonts w:ascii="Arial" w:hAnsi="Arial" w:cs="Arial"/>
          <w:b w:val="0"/>
          <w:sz w:val="21"/>
        </w:rPr>
        <w:t>• التحقق من الفاعلية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الجودة وتنظيم العمل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إجراء تصحيحي أو وقائي</dc:title>
  <dc:subject>الجودة وتنظيم العمل</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